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9EAFC21" w14:textId="77777777" w:rsidR="00F66245" w:rsidRDefault="00000000">
      <w:pPr>
        <w:spacing w:after="40"/>
        <w:jc w:val="center"/>
      </w:pPr>
      <w:r>
        <w:rPr>
          <w:b/>
          <w:bCs/>
          <w:sz w:val="32"/>
          <w:szCs w:val="32"/>
        </w:rPr>
        <w:t>TNV Global Limited</w:t>
      </w:r>
    </w:p>
    <w:p w14:paraId="26D76910" w14:textId="77777777" w:rsidR="00F66245" w:rsidRDefault="00000000">
      <w:pPr>
        <w:spacing w:after="20"/>
        <w:jc w:val="center"/>
      </w:pPr>
      <w:r>
        <w:t>H.O.: TNV House, B-1/19/69, Sector-K, Aliganj,</w:t>
      </w:r>
    </w:p>
    <w:p w14:paraId="30E653F2" w14:textId="77777777" w:rsidR="00F66245" w:rsidRDefault="00000000">
      <w:pPr>
        <w:spacing w:after="200"/>
        <w:jc w:val="center"/>
      </w:pPr>
      <w:r>
        <w:t>Lucknow – UP – 226024 (India)</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900"/>
        <w:gridCol w:w="1200"/>
        <w:gridCol w:w="1600"/>
        <w:gridCol w:w="1200"/>
        <w:gridCol w:w="1400"/>
      </w:tblGrid>
      <w:tr w:rsidR="00F66245" w14:paraId="25BE5641" w14:textId="77777777">
        <w:tc>
          <w:tcPr>
            <w:tcW w:w="1600" w:type="dxa"/>
            <w:shd w:val="clear" w:color="auto" w:fill="D9E2F3"/>
            <w:vAlign w:val="center"/>
          </w:tcPr>
          <w:p w14:paraId="0F2F292F" w14:textId="77777777" w:rsidR="00F66245" w:rsidRDefault="00000000">
            <w:pPr>
              <w:jc w:val="center"/>
            </w:pPr>
            <w:r>
              <w:rPr>
                <w:b/>
                <w:bCs/>
                <w:sz w:val="18"/>
                <w:szCs w:val="18"/>
              </w:rPr>
              <w:t>Doc. No.</w:t>
            </w:r>
          </w:p>
        </w:tc>
        <w:tc>
          <w:tcPr>
            <w:tcW w:w="2900" w:type="dxa"/>
            <w:shd w:val="clear" w:color="auto" w:fill="D9E2F3"/>
            <w:vAlign w:val="center"/>
          </w:tcPr>
          <w:p w14:paraId="1F4BA161" w14:textId="77777777" w:rsidR="00F66245" w:rsidRDefault="00000000">
            <w:pPr>
              <w:jc w:val="center"/>
            </w:pPr>
            <w:r>
              <w:rPr>
                <w:b/>
                <w:bCs/>
                <w:sz w:val="18"/>
                <w:szCs w:val="18"/>
              </w:rPr>
              <w:t>Title</w:t>
            </w:r>
          </w:p>
        </w:tc>
        <w:tc>
          <w:tcPr>
            <w:tcW w:w="1200" w:type="dxa"/>
            <w:shd w:val="clear" w:color="auto" w:fill="D9E2F3"/>
            <w:vAlign w:val="center"/>
          </w:tcPr>
          <w:p w14:paraId="337ACDA5" w14:textId="77777777" w:rsidR="00F66245" w:rsidRDefault="00000000">
            <w:pPr>
              <w:jc w:val="center"/>
            </w:pPr>
            <w:r>
              <w:rPr>
                <w:b/>
                <w:bCs/>
                <w:sz w:val="18"/>
                <w:szCs w:val="18"/>
              </w:rPr>
              <w:t>Issue No.</w:t>
            </w:r>
          </w:p>
        </w:tc>
        <w:tc>
          <w:tcPr>
            <w:tcW w:w="1600" w:type="dxa"/>
            <w:shd w:val="clear" w:color="auto" w:fill="D9E2F3"/>
            <w:vAlign w:val="center"/>
          </w:tcPr>
          <w:p w14:paraId="093010C1" w14:textId="77777777" w:rsidR="00F66245" w:rsidRDefault="00000000">
            <w:pPr>
              <w:jc w:val="center"/>
            </w:pPr>
            <w:r>
              <w:rPr>
                <w:b/>
                <w:bCs/>
                <w:sz w:val="18"/>
                <w:szCs w:val="18"/>
              </w:rPr>
              <w:t>Issue Date</w:t>
            </w:r>
          </w:p>
        </w:tc>
        <w:tc>
          <w:tcPr>
            <w:tcW w:w="1200" w:type="dxa"/>
            <w:shd w:val="clear" w:color="auto" w:fill="D9E2F3"/>
            <w:vAlign w:val="center"/>
          </w:tcPr>
          <w:p w14:paraId="13FF7F7A" w14:textId="77777777" w:rsidR="00F66245" w:rsidRDefault="00000000">
            <w:pPr>
              <w:jc w:val="center"/>
            </w:pPr>
            <w:r>
              <w:rPr>
                <w:b/>
                <w:bCs/>
                <w:sz w:val="18"/>
                <w:szCs w:val="18"/>
              </w:rPr>
              <w:t>Rev. No.</w:t>
            </w:r>
          </w:p>
        </w:tc>
        <w:tc>
          <w:tcPr>
            <w:tcW w:w="1400" w:type="dxa"/>
            <w:shd w:val="clear" w:color="auto" w:fill="D9E2F3"/>
            <w:vAlign w:val="center"/>
          </w:tcPr>
          <w:p w14:paraId="4BCA2A1C" w14:textId="77777777" w:rsidR="00F66245" w:rsidRDefault="00000000">
            <w:pPr>
              <w:jc w:val="center"/>
            </w:pPr>
            <w:r>
              <w:rPr>
                <w:b/>
                <w:bCs/>
                <w:sz w:val="18"/>
                <w:szCs w:val="18"/>
              </w:rPr>
              <w:t>Rev. Date</w:t>
            </w:r>
          </w:p>
        </w:tc>
      </w:tr>
      <w:tr w:rsidR="00F66245" w14:paraId="69DBCE44" w14:textId="77777777">
        <w:tc>
          <w:tcPr>
            <w:tcW w:w="1600" w:type="dxa"/>
            <w:vAlign w:val="center"/>
          </w:tcPr>
          <w:p w14:paraId="11FFCC8A" w14:textId="3C83D9B8" w:rsidR="00F66245" w:rsidRDefault="000E491E">
            <w:pPr>
              <w:jc w:val="center"/>
            </w:pPr>
            <w:r w:rsidRPr="000E491E">
              <w:rPr>
                <w:i/>
                <w:iCs/>
                <w:color w:val="C00000"/>
                <w:sz w:val="18"/>
                <w:szCs w:val="18"/>
              </w:rPr>
              <w:t>TNV-F-20-E</w:t>
            </w:r>
          </w:p>
        </w:tc>
        <w:tc>
          <w:tcPr>
            <w:tcW w:w="2900" w:type="dxa"/>
            <w:vAlign w:val="center"/>
          </w:tcPr>
          <w:p w14:paraId="1D568434" w14:textId="77777777" w:rsidR="00F66245" w:rsidRDefault="00000000">
            <w:pPr>
              <w:jc w:val="center"/>
            </w:pPr>
            <w:r>
              <w:rPr>
                <w:sz w:val="18"/>
                <w:szCs w:val="18"/>
              </w:rPr>
              <w:t>Use of Marks Policy</w:t>
            </w:r>
          </w:p>
        </w:tc>
        <w:tc>
          <w:tcPr>
            <w:tcW w:w="1200" w:type="dxa"/>
            <w:vAlign w:val="center"/>
          </w:tcPr>
          <w:p w14:paraId="1B1A8FF7" w14:textId="77777777" w:rsidR="00F66245" w:rsidRDefault="00000000">
            <w:pPr>
              <w:jc w:val="center"/>
            </w:pPr>
            <w:r>
              <w:rPr>
                <w:sz w:val="18"/>
                <w:szCs w:val="18"/>
              </w:rPr>
              <w:t>01</w:t>
            </w:r>
          </w:p>
        </w:tc>
        <w:tc>
          <w:tcPr>
            <w:tcW w:w="1600" w:type="dxa"/>
            <w:vAlign w:val="center"/>
          </w:tcPr>
          <w:p w14:paraId="6511BEBC" w14:textId="1A0F937A" w:rsidR="00F66245" w:rsidRDefault="007929FA">
            <w:pPr>
              <w:jc w:val="center"/>
            </w:pPr>
            <w:r>
              <w:rPr>
                <w:i/>
                <w:iCs/>
                <w:color w:val="C00000"/>
                <w:sz w:val="18"/>
                <w:szCs w:val="18"/>
              </w:rPr>
              <w:t>20</w:t>
            </w:r>
            <w:r w:rsidR="00000000">
              <w:rPr>
                <w:i/>
                <w:iCs/>
                <w:color w:val="C00000"/>
                <w:sz w:val="18"/>
                <w:szCs w:val="18"/>
              </w:rPr>
              <w:t>-0</w:t>
            </w:r>
            <w:r>
              <w:rPr>
                <w:i/>
                <w:iCs/>
                <w:color w:val="C00000"/>
                <w:sz w:val="18"/>
                <w:szCs w:val="18"/>
              </w:rPr>
              <w:t>4</w:t>
            </w:r>
            <w:r w:rsidR="00000000">
              <w:rPr>
                <w:i/>
                <w:iCs/>
                <w:color w:val="C00000"/>
                <w:sz w:val="18"/>
                <w:szCs w:val="18"/>
              </w:rPr>
              <w:t>-20</w:t>
            </w:r>
            <w:r>
              <w:rPr>
                <w:i/>
                <w:iCs/>
                <w:color w:val="C00000"/>
                <w:sz w:val="18"/>
                <w:szCs w:val="18"/>
              </w:rPr>
              <w:t>18</w:t>
            </w:r>
          </w:p>
        </w:tc>
        <w:tc>
          <w:tcPr>
            <w:tcW w:w="1200" w:type="dxa"/>
            <w:vAlign w:val="center"/>
          </w:tcPr>
          <w:p w14:paraId="74CF217D" w14:textId="5E22FE96" w:rsidR="00F66245" w:rsidRDefault="00000000">
            <w:pPr>
              <w:jc w:val="center"/>
            </w:pPr>
            <w:r>
              <w:rPr>
                <w:sz w:val="18"/>
                <w:szCs w:val="18"/>
              </w:rPr>
              <w:t>0</w:t>
            </w:r>
            <w:r w:rsidR="00EE1037">
              <w:rPr>
                <w:sz w:val="18"/>
                <w:szCs w:val="18"/>
              </w:rPr>
              <w:t>3</w:t>
            </w:r>
          </w:p>
        </w:tc>
        <w:tc>
          <w:tcPr>
            <w:tcW w:w="1400" w:type="dxa"/>
            <w:vAlign w:val="center"/>
          </w:tcPr>
          <w:p w14:paraId="4944A787" w14:textId="6AF4ECD9" w:rsidR="00F66245" w:rsidRDefault="00D14883">
            <w:pPr>
              <w:jc w:val="center"/>
            </w:pPr>
            <w:r>
              <w:t>12/01/2026</w:t>
            </w:r>
          </w:p>
        </w:tc>
      </w:tr>
    </w:tbl>
    <w:p w14:paraId="3084F9F2" w14:textId="77777777" w:rsidR="00F66245" w:rsidRDefault="00000000">
      <w:pPr>
        <w:spacing w:before="240" w:after="200"/>
        <w:jc w:val="center"/>
      </w:pPr>
      <w:r>
        <w:rPr>
          <w:b/>
          <w:bCs/>
          <w:sz w:val="28"/>
          <w:szCs w:val="28"/>
        </w:rPr>
        <w:t>USE OF MARKS POLICY</w:t>
      </w:r>
    </w:p>
    <w:p w14:paraId="4DE2B1F2" w14:textId="77777777" w:rsidR="00F66245" w:rsidRDefault="00000000" w:rsidP="00062AB8">
      <w:pPr>
        <w:pStyle w:val="Heading1"/>
        <w:spacing w:before="280" w:after="120"/>
        <w:jc w:val="both"/>
      </w:pPr>
      <w:r>
        <w:rPr>
          <w:b/>
          <w:bCs/>
          <w:sz w:val="24"/>
          <w:szCs w:val="24"/>
        </w:rPr>
        <w:t>1. Purpose</w:t>
      </w:r>
    </w:p>
    <w:p w14:paraId="0CD16B0E" w14:textId="77777777" w:rsidR="00F66245" w:rsidRDefault="00000000" w:rsidP="00062AB8">
      <w:pPr>
        <w:spacing w:after="140"/>
        <w:jc w:val="both"/>
      </w:pPr>
      <w:r>
        <w:rPr>
          <w:sz w:val="21"/>
          <w:szCs w:val="21"/>
        </w:rPr>
        <w:t>This policy establishes the rules governing the use of the certification mark, the accreditation mark of the United Accreditation Foundation (UAF), and the IAF (International Accreditation Forum) MLA Mark by organizations certified by TNV Global Limited, in order to ensure that certification and accreditation status is represented accurately, is not misleading, and is used in a manner consistent with ISO/IEC 17021-1:2015 and applicable IAF/UAF requirements.</w:t>
      </w:r>
    </w:p>
    <w:p w14:paraId="5904BF44" w14:textId="77777777" w:rsidR="00F66245" w:rsidRDefault="00000000" w:rsidP="00062AB8">
      <w:pPr>
        <w:pStyle w:val="Heading1"/>
        <w:spacing w:before="280" w:after="120"/>
        <w:jc w:val="both"/>
      </w:pPr>
      <w:r>
        <w:rPr>
          <w:b/>
          <w:bCs/>
          <w:sz w:val="24"/>
          <w:szCs w:val="24"/>
        </w:rPr>
        <w:t>2. Scope</w:t>
      </w:r>
    </w:p>
    <w:p w14:paraId="262A82F9" w14:textId="77777777" w:rsidR="00F66245" w:rsidRDefault="00000000" w:rsidP="00062AB8">
      <w:pPr>
        <w:spacing w:after="140"/>
        <w:jc w:val="both"/>
      </w:pPr>
      <w:r>
        <w:rPr>
          <w:sz w:val="21"/>
          <w:szCs w:val="21"/>
        </w:rPr>
        <w:t>This policy applies to all organizations holding a valid certificate of registration issued by TNV Global Limited under any of its accredited management system certification schemes, and to all internal personnel, auditors, and marketing/sales staff of TNV Global Limited responsible for issuing certificates or communicating certification and accreditation status to clients and the public.</w:t>
      </w:r>
    </w:p>
    <w:p w14:paraId="47EF5A2E" w14:textId="77777777" w:rsidR="00F66245" w:rsidRDefault="00000000" w:rsidP="00062AB8">
      <w:pPr>
        <w:pStyle w:val="Heading1"/>
        <w:spacing w:before="280" w:after="120"/>
        <w:jc w:val="both"/>
      </w:pPr>
      <w:r>
        <w:rPr>
          <w:b/>
          <w:bCs/>
          <w:sz w:val="24"/>
          <w:szCs w:val="24"/>
        </w:rPr>
        <w:t>3. Definitions</w:t>
      </w:r>
    </w:p>
    <w:p w14:paraId="44637ABE" w14:textId="4BF17826" w:rsidR="00F66245" w:rsidRDefault="00000000" w:rsidP="00062AB8">
      <w:pPr>
        <w:pStyle w:val="ListParagraph"/>
        <w:numPr>
          <w:ilvl w:val="0"/>
          <w:numId w:val="2"/>
        </w:numPr>
        <w:spacing w:after="80"/>
        <w:jc w:val="both"/>
      </w:pPr>
      <w:r>
        <w:rPr>
          <w:sz w:val="21"/>
          <w:szCs w:val="21"/>
        </w:rPr>
        <w:t>Certification Mark: The registered mark/logo of TNV Global Limited, granted under licence to a client upon successful certification of its management system to an applicable standard (e.g., ISO 9001, ISO 14001, ISO 45001, ISO 13485, ISO 22000, ISO/IEC 27001, ISO/IEC 27701, ISO/IEC 20000-1, ISO 21001, ISO 37001, ISO 41001, ISO 55001, ISO 50001</w:t>
      </w:r>
      <w:r w:rsidR="00C577B8">
        <w:rPr>
          <w:sz w:val="21"/>
          <w:szCs w:val="21"/>
        </w:rPr>
        <w:t>, ISO 42001</w:t>
      </w:r>
      <w:r>
        <w:rPr>
          <w:sz w:val="21"/>
          <w:szCs w:val="21"/>
        </w:rPr>
        <w:t>).</w:t>
      </w:r>
    </w:p>
    <w:p w14:paraId="3768914F" w14:textId="77777777" w:rsidR="00F66245" w:rsidRDefault="00000000" w:rsidP="00062AB8">
      <w:pPr>
        <w:pStyle w:val="ListParagraph"/>
        <w:numPr>
          <w:ilvl w:val="0"/>
          <w:numId w:val="2"/>
        </w:numPr>
        <w:spacing w:after="80"/>
        <w:jc w:val="both"/>
      </w:pPr>
      <w:r>
        <w:rPr>
          <w:sz w:val="21"/>
          <w:szCs w:val="21"/>
        </w:rPr>
        <w:t>Accreditation Mark (AB Mark): The mark of the Accreditation Body — the United Accreditation Foundation (UAF) — which may be used only in combination with the TNV Certification Mark, where TNV's registration has been issued under UAF accreditation.</w:t>
      </w:r>
    </w:p>
    <w:p w14:paraId="419B45B6" w14:textId="77777777" w:rsidR="00F66245" w:rsidRDefault="00000000" w:rsidP="00062AB8">
      <w:pPr>
        <w:pStyle w:val="ListParagraph"/>
        <w:numPr>
          <w:ilvl w:val="0"/>
          <w:numId w:val="2"/>
        </w:numPr>
        <w:spacing w:after="80"/>
        <w:jc w:val="both"/>
      </w:pPr>
      <w:r>
        <w:rPr>
          <w:sz w:val="21"/>
          <w:szCs w:val="21"/>
        </w:rPr>
        <w:t>IAF MLA Mark: The mark of the International Accreditation Forum (IAF), denoting that the accreditation body issuing TNV's accreditation is a signatory to the IAF Multilateral Recognition Arrangement (MLA).</w:t>
      </w:r>
    </w:p>
    <w:p w14:paraId="7CCE31ED" w14:textId="77777777" w:rsidR="00F66245" w:rsidRDefault="00000000" w:rsidP="00062AB8">
      <w:pPr>
        <w:spacing w:after="140"/>
        <w:jc w:val="both"/>
      </w:pPr>
      <w:r>
        <w:rPr>
          <w:color w:val="1F4E79"/>
          <w:sz w:val="21"/>
          <w:szCs w:val="21"/>
        </w:rPr>
        <w:t>Note: The IAF MLA Mark may only be used in combination with the Accreditation Body's (UAF's) mark and the Certification Body's (TNV's) mark together, and never on a stand-alone basis. It shall never be used directly on a product, on product packaging, or in any other way that may be interpreted as denoting product conformity.</w:t>
      </w:r>
    </w:p>
    <w:p w14:paraId="0D5E56FF" w14:textId="77777777" w:rsidR="00F66245" w:rsidRDefault="00000000">
      <w:pPr>
        <w:pStyle w:val="Heading1"/>
        <w:spacing w:before="280" w:after="120"/>
      </w:pPr>
      <w:r>
        <w:rPr>
          <w:b/>
          <w:bCs/>
          <w:sz w:val="24"/>
          <w:szCs w:val="24"/>
        </w:rPr>
        <w:t>4. General Principles (ISO/IEC 17021-1:2015)</w:t>
      </w:r>
    </w:p>
    <w:p w14:paraId="773C3EE3" w14:textId="77777777" w:rsidR="00F66245" w:rsidRDefault="00000000">
      <w:pPr>
        <w:spacing w:after="140"/>
        <w:jc w:val="both"/>
      </w:pPr>
      <w:r>
        <w:rPr>
          <w:sz w:val="21"/>
          <w:szCs w:val="21"/>
        </w:rPr>
        <w:t>In accordance with ISO/IEC 17021-1:2015 Clause 7.1.3 (public information) and Clause 7.6 (reference to certification and use of marks), TNV Global Limited requires that a certified client:</w:t>
      </w:r>
    </w:p>
    <w:p w14:paraId="5D458AE4" w14:textId="77777777" w:rsidR="00F66245" w:rsidRDefault="00000000">
      <w:pPr>
        <w:pStyle w:val="ListParagraph"/>
        <w:numPr>
          <w:ilvl w:val="0"/>
          <w:numId w:val="2"/>
        </w:numPr>
        <w:spacing w:after="80"/>
      </w:pPr>
      <w:r>
        <w:rPr>
          <w:sz w:val="21"/>
          <w:szCs w:val="21"/>
        </w:rPr>
        <w:t>Complies with the requirements specified by TNV when referencing its certification status in communication media such as the internet, brochures, advertising, or other documents.</w:t>
      </w:r>
    </w:p>
    <w:p w14:paraId="4FEE3368" w14:textId="77777777" w:rsidR="00F66245" w:rsidRDefault="00000000">
      <w:pPr>
        <w:pStyle w:val="ListParagraph"/>
        <w:numPr>
          <w:ilvl w:val="0"/>
          <w:numId w:val="2"/>
        </w:numPr>
        <w:spacing w:after="80"/>
      </w:pPr>
      <w:r>
        <w:rPr>
          <w:sz w:val="21"/>
          <w:szCs w:val="21"/>
        </w:rPr>
        <w:t>Only makes claims regarding certification consistent with the scope of certification granted.</w:t>
      </w:r>
    </w:p>
    <w:p w14:paraId="0036E9D0" w14:textId="77777777" w:rsidR="00F66245" w:rsidRDefault="00000000">
      <w:pPr>
        <w:pStyle w:val="ListParagraph"/>
        <w:numPr>
          <w:ilvl w:val="0"/>
          <w:numId w:val="2"/>
        </w:numPr>
        <w:spacing w:after="80"/>
      </w:pPr>
      <w:r>
        <w:rPr>
          <w:sz w:val="21"/>
          <w:szCs w:val="21"/>
        </w:rPr>
        <w:t>Does not use the certification documents, certificate, or any part thereof in a misleading manner.</w:t>
      </w:r>
    </w:p>
    <w:p w14:paraId="55B4798C" w14:textId="77777777" w:rsidR="00F66245" w:rsidRDefault="00000000">
      <w:pPr>
        <w:pStyle w:val="ListParagraph"/>
        <w:numPr>
          <w:ilvl w:val="0"/>
          <w:numId w:val="2"/>
        </w:numPr>
        <w:spacing w:after="80"/>
      </w:pPr>
      <w:r>
        <w:rPr>
          <w:sz w:val="21"/>
          <w:szCs w:val="21"/>
        </w:rPr>
        <w:t>Does not state or imply that the certification applies to activities and sites outside the certified scope.</w:t>
      </w:r>
    </w:p>
    <w:p w14:paraId="07A7D76A" w14:textId="77777777" w:rsidR="00F66245" w:rsidRDefault="00000000">
      <w:pPr>
        <w:pStyle w:val="ListParagraph"/>
        <w:numPr>
          <w:ilvl w:val="0"/>
          <w:numId w:val="2"/>
        </w:numPr>
        <w:spacing w:after="80"/>
      </w:pPr>
      <w:r>
        <w:rPr>
          <w:sz w:val="21"/>
          <w:szCs w:val="21"/>
        </w:rPr>
        <w:t>Does not use certification in such a manner as to bring TNV, UAF, and/or IAF into disrepute or loss of public trust.</w:t>
      </w:r>
    </w:p>
    <w:p w14:paraId="4CFFC06B" w14:textId="77777777" w:rsidR="00F66245" w:rsidRDefault="00000000">
      <w:pPr>
        <w:pStyle w:val="ListParagraph"/>
        <w:numPr>
          <w:ilvl w:val="0"/>
          <w:numId w:val="2"/>
        </w:numPr>
        <w:spacing w:after="80"/>
      </w:pPr>
      <w:r>
        <w:rPr>
          <w:sz w:val="21"/>
          <w:szCs w:val="21"/>
        </w:rPr>
        <w:t>Upon suspension or withdrawal of certification, ceases the use of all advertising matter containing any reference to the certification status and, where applicable, removes any reference to certification in any published/printed material.</w:t>
      </w:r>
    </w:p>
    <w:p w14:paraId="0A85AA95" w14:textId="77777777" w:rsidR="00F66245" w:rsidRDefault="00000000">
      <w:pPr>
        <w:pStyle w:val="ListParagraph"/>
        <w:numPr>
          <w:ilvl w:val="0"/>
          <w:numId w:val="2"/>
        </w:numPr>
        <w:spacing w:after="80"/>
      </w:pPr>
      <w:r>
        <w:rPr>
          <w:sz w:val="21"/>
          <w:szCs w:val="21"/>
        </w:rPr>
        <w:t>Does not use the certificate or any part thereof in a misleading manner, or permit its use by any other party.</w:t>
      </w:r>
    </w:p>
    <w:p w14:paraId="44EDC436" w14:textId="77777777" w:rsidR="00F66245" w:rsidRDefault="00000000">
      <w:pPr>
        <w:pStyle w:val="ListParagraph"/>
        <w:numPr>
          <w:ilvl w:val="0"/>
          <w:numId w:val="2"/>
        </w:numPr>
        <w:spacing w:after="80"/>
      </w:pPr>
      <w:r>
        <w:rPr>
          <w:sz w:val="21"/>
          <w:szCs w:val="21"/>
        </w:rPr>
        <w:t>Amends all advertising matter when the certification is withdrawn, and does not allow reference to certification to be used to imply that TNV certifies a product or service (as opposed to a management system).</w:t>
      </w:r>
    </w:p>
    <w:p w14:paraId="708D1A4A" w14:textId="77777777" w:rsidR="00F66245" w:rsidRDefault="00000000">
      <w:pPr>
        <w:pStyle w:val="ListParagraph"/>
        <w:numPr>
          <w:ilvl w:val="0"/>
          <w:numId w:val="2"/>
        </w:numPr>
        <w:spacing w:after="80"/>
      </w:pPr>
      <w:r>
        <w:rPr>
          <w:sz w:val="21"/>
          <w:szCs w:val="21"/>
        </w:rPr>
        <w:lastRenderedPageBreak/>
        <w:t>Does not imply that TNV certifies a management system to any standard/scheme that is outside its current accredited scope.</w:t>
      </w:r>
    </w:p>
    <w:p w14:paraId="70367E71" w14:textId="77777777" w:rsidR="00F66245" w:rsidRDefault="00000000" w:rsidP="00062AB8">
      <w:pPr>
        <w:pStyle w:val="Heading1"/>
        <w:spacing w:before="280" w:after="120"/>
        <w:jc w:val="both"/>
      </w:pPr>
      <w:r>
        <w:rPr>
          <w:b/>
          <w:bCs/>
          <w:sz w:val="24"/>
          <w:szCs w:val="24"/>
        </w:rPr>
        <w:t>5. Rules for Use of the TNV Certification Mark</w:t>
      </w:r>
    </w:p>
    <w:p w14:paraId="3E39909F" w14:textId="0AEA62D9" w:rsidR="00F66245" w:rsidRPr="00060D7D" w:rsidRDefault="00000000" w:rsidP="00C01ABD">
      <w:pPr>
        <w:spacing w:after="140"/>
        <w:jc w:val="both"/>
      </w:pPr>
      <w:r>
        <w:rPr>
          <w:sz w:val="21"/>
          <w:szCs w:val="21"/>
        </w:rPr>
        <w:t>The TNV Certification Mark is granted under licence to a certified client only for the duration of validity of the certificate and strictly within the approved scope of certification. The following rules apply:</w:t>
      </w:r>
    </w:p>
    <w:p w14:paraId="35F16E12" w14:textId="3E8B8DC2" w:rsidR="00060D7D" w:rsidRPr="007A7E35" w:rsidRDefault="00060D7D" w:rsidP="00062AB8">
      <w:pPr>
        <w:pStyle w:val="ListParagraph"/>
        <w:numPr>
          <w:ilvl w:val="0"/>
          <w:numId w:val="2"/>
        </w:numPr>
        <w:spacing w:after="80"/>
        <w:jc w:val="both"/>
        <w:rPr>
          <w:sz w:val="21"/>
          <w:szCs w:val="21"/>
        </w:rPr>
      </w:pPr>
      <w:r w:rsidRPr="007A7E35">
        <w:rPr>
          <w:sz w:val="21"/>
          <w:szCs w:val="21"/>
        </w:rPr>
        <w:t>The Certification Mark may be used in electronic communication media including the organization's official website, email signatures, social media pages, mobile applications, digital brochures, presentations, and other online promotional materials, provided that the use is limited to the certified scope, complies with this policy, and does not imply product, process, or service certification.</w:t>
      </w:r>
    </w:p>
    <w:p w14:paraId="416DE613" w14:textId="52996D72" w:rsidR="00F66245" w:rsidRDefault="00000000" w:rsidP="00062AB8">
      <w:pPr>
        <w:pStyle w:val="ListParagraph"/>
        <w:numPr>
          <w:ilvl w:val="0"/>
          <w:numId w:val="2"/>
        </w:numPr>
        <w:spacing w:after="80"/>
        <w:jc w:val="both"/>
      </w:pPr>
      <w:r>
        <w:rPr>
          <w:sz w:val="21"/>
          <w:szCs w:val="21"/>
        </w:rPr>
        <w:t>The mark shall not be used on a test report, calibration certificate, inspection report, or product/product packaging, or in any manner implying that an individual product, process, or service has been certified/approved by TNV.</w:t>
      </w:r>
    </w:p>
    <w:p w14:paraId="3020373A" w14:textId="77777777" w:rsidR="00F66245" w:rsidRDefault="00000000" w:rsidP="00062AB8">
      <w:pPr>
        <w:pStyle w:val="ListParagraph"/>
        <w:numPr>
          <w:ilvl w:val="0"/>
          <w:numId w:val="2"/>
        </w:numPr>
        <w:spacing w:after="80"/>
        <w:jc w:val="both"/>
      </w:pPr>
      <w:r>
        <w:rPr>
          <w:sz w:val="21"/>
          <w:szCs w:val="21"/>
        </w:rPr>
        <w:t>Where the mark is used, the certificate registration number must be clearly and legibly indicated alongside it.</w:t>
      </w:r>
    </w:p>
    <w:p w14:paraId="5EF37B1E" w14:textId="77777777" w:rsidR="00F66245" w:rsidRDefault="00000000" w:rsidP="00062AB8">
      <w:pPr>
        <w:pStyle w:val="ListParagraph"/>
        <w:numPr>
          <w:ilvl w:val="0"/>
          <w:numId w:val="2"/>
        </w:numPr>
        <w:spacing w:after="80"/>
        <w:jc w:val="both"/>
      </w:pPr>
      <w:r>
        <w:rPr>
          <w:sz w:val="21"/>
          <w:szCs w:val="21"/>
        </w:rPr>
        <w:t>The mark shall be reproduced only as provided by TNV, in its approved form and colour(s), and shall not be resized, distorted, or altered in a manner that puts the mark into disrepute or renders it illegible.</w:t>
      </w:r>
    </w:p>
    <w:p w14:paraId="3DC71FF1" w14:textId="77777777" w:rsidR="00F66245" w:rsidRDefault="00000000" w:rsidP="00062AB8">
      <w:pPr>
        <w:pStyle w:val="ListParagraph"/>
        <w:numPr>
          <w:ilvl w:val="0"/>
          <w:numId w:val="2"/>
        </w:numPr>
        <w:spacing w:after="80"/>
        <w:jc w:val="both"/>
      </w:pPr>
      <w:r>
        <w:rPr>
          <w:sz w:val="21"/>
          <w:szCs w:val="21"/>
        </w:rPr>
        <w:t>The mark shall not be used on a vehicle, uniform, or any item in a manner suggesting TNV endorses activities beyond the certified management system.</w:t>
      </w:r>
    </w:p>
    <w:p w14:paraId="1B212590" w14:textId="77777777" w:rsidR="00F66245" w:rsidRDefault="00000000">
      <w:pPr>
        <w:pStyle w:val="Heading1"/>
        <w:spacing w:before="280" w:after="120"/>
      </w:pPr>
      <w:r>
        <w:rPr>
          <w:b/>
          <w:bCs/>
          <w:sz w:val="24"/>
          <w:szCs w:val="24"/>
        </w:rPr>
        <w:t>6. Rules for Use of Accreditation Body (UAF) and IAF Marks</w:t>
      </w:r>
    </w:p>
    <w:p w14:paraId="6F2C3BC8" w14:textId="77777777" w:rsidR="00F66245" w:rsidRDefault="00000000" w:rsidP="00062AB8">
      <w:pPr>
        <w:spacing w:after="140"/>
        <w:jc w:val="both"/>
      </w:pPr>
      <w:r>
        <w:rPr>
          <w:color w:val="1F4E79"/>
          <w:sz w:val="21"/>
          <w:szCs w:val="21"/>
        </w:rPr>
        <w:t>The rules set out in this Section apply identically to both the UAF Accreditation Mark and the IAF MLA Mark — i.e., wherever "Accreditation Mark" is referenced below, the same conditions, restrictions, and consequences of misuse apply equally and without variation to the IAF MLA Mark, since the IAF Mark is only ever used in conjunction with, and subject to, the same controls as the Accreditation Body's mark.</w:t>
      </w:r>
    </w:p>
    <w:p w14:paraId="0EFE6730" w14:textId="77777777" w:rsidR="00F66245" w:rsidRDefault="00000000" w:rsidP="00062AB8">
      <w:pPr>
        <w:pStyle w:val="ListParagraph"/>
        <w:numPr>
          <w:ilvl w:val="0"/>
          <w:numId w:val="2"/>
        </w:numPr>
        <w:spacing w:after="80"/>
        <w:jc w:val="both"/>
      </w:pPr>
      <w:r>
        <w:rPr>
          <w:sz w:val="21"/>
          <w:szCs w:val="21"/>
        </w:rPr>
        <w:t>The Accreditation Mark (UAF) and, where applicable, the IAF MLA Mark may only be used in combination with the TNV Certification Mark, and never on a stand-alone basis by a certified client.</w:t>
      </w:r>
    </w:p>
    <w:p w14:paraId="50C955C2" w14:textId="46F21C29" w:rsidR="00F66245" w:rsidRDefault="00000000" w:rsidP="00062AB8">
      <w:pPr>
        <w:pStyle w:val="ListParagraph"/>
        <w:numPr>
          <w:ilvl w:val="0"/>
          <w:numId w:val="2"/>
        </w:numPr>
        <w:spacing w:after="80"/>
        <w:jc w:val="both"/>
      </w:pPr>
      <w:r>
        <w:rPr>
          <w:sz w:val="21"/>
          <w:szCs w:val="21"/>
        </w:rPr>
        <w:t xml:space="preserve">The Accreditation Mark and IAF MLA Mark are limited to use on stationery, literature, and other written promotional material. </w:t>
      </w:r>
      <w:r w:rsidR="00E02C8E" w:rsidRPr="00E02C8E">
        <w:rPr>
          <w:sz w:val="21"/>
          <w:szCs w:val="21"/>
        </w:rPr>
        <w:t>The certification mark shall not appear on a product, primary packaging, or in any way that could be interpreted as denoting product conformity.</w:t>
      </w:r>
    </w:p>
    <w:p w14:paraId="56EBCB97" w14:textId="77777777" w:rsidR="00F66245" w:rsidRDefault="00000000" w:rsidP="00062AB8">
      <w:pPr>
        <w:pStyle w:val="ListParagraph"/>
        <w:numPr>
          <w:ilvl w:val="0"/>
          <w:numId w:val="2"/>
        </w:numPr>
        <w:spacing w:after="80"/>
        <w:jc w:val="both"/>
      </w:pPr>
      <w:r>
        <w:rPr>
          <w:sz w:val="21"/>
          <w:szCs w:val="21"/>
        </w:rPr>
        <w:t>The Accreditation Mark and IAF MLA Mark shall be reproduced strictly in accordance with the colour specification and artwork provided by UAF/IAF, or in a single colour consistent with the predominant colour of the client's existing stationery, provided legibility and proportion are maintained.</w:t>
      </w:r>
    </w:p>
    <w:p w14:paraId="2EEE5113" w14:textId="77777777" w:rsidR="00F66245" w:rsidRDefault="00000000" w:rsidP="00062AB8">
      <w:pPr>
        <w:pStyle w:val="ListParagraph"/>
        <w:numPr>
          <w:ilvl w:val="0"/>
          <w:numId w:val="2"/>
        </w:numPr>
        <w:spacing w:after="80"/>
        <w:jc w:val="both"/>
      </w:pPr>
      <w:r>
        <w:rPr>
          <w:sz w:val="21"/>
          <w:szCs w:val="21"/>
        </w:rPr>
        <w:t>The Accreditation Mark and IAF MLA Mark shall not be used in a manner suggesting that UAF, IAF, or any government body has itself certified or approved the activities of the certified organization, or in any other manner that could mislead the public.</w:t>
      </w:r>
    </w:p>
    <w:p w14:paraId="07A90AFD" w14:textId="77777777" w:rsidR="00F66245" w:rsidRPr="00CB60EC" w:rsidRDefault="00000000" w:rsidP="00062AB8">
      <w:pPr>
        <w:pStyle w:val="ListParagraph"/>
        <w:numPr>
          <w:ilvl w:val="0"/>
          <w:numId w:val="2"/>
        </w:numPr>
        <w:spacing w:after="80"/>
        <w:jc w:val="both"/>
      </w:pPr>
      <w:r>
        <w:rPr>
          <w:sz w:val="21"/>
          <w:szCs w:val="21"/>
        </w:rPr>
        <w:t>The Certification Mark and, where used, the Accreditation Mark/IAF MLA Mark may be uniformly reduced or enlarged, but shall not, in any case, be reproduced at a size or in a manner that puts the mark(s) into disrepute, and shall always remain clearly visible and legible.</w:t>
      </w:r>
    </w:p>
    <w:p w14:paraId="631DC757" w14:textId="70906F69" w:rsidR="00CB60EC" w:rsidRPr="00CB60EC" w:rsidRDefault="00CB60EC" w:rsidP="00062AB8">
      <w:pPr>
        <w:pStyle w:val="ListParagraph"/>
        <w:numPr>
          <w:ilvl w:val="0"/>
          <w:numId w:val="2"/>
        </w:numPr>
        <w:spacing w:after="80"/>
        <w:jc w:val="both"/>
        <w:rPr>
          <w:sz w:val="21"/>
          <w:szCs w:val="21"/>
        </w:rPr>
      </w:pPr>
      <w:r w:rsidRPr="00CB60EC">
        <w:rPr>
          <w:sz w:val="21"/>
          <w:szCs w:val="21"/>
        </w:rPr>
        <w:t>Where authorized, the UAF Accreditation Mark and the IAF MLA Mark may also appear on electronic communication media such as the organization's official website, digital brochures, presentations, and other online promotional material, subject to all applicable conditions of this policy. They shall not be used in email signatures, social media profile pictures, mobile application icons, or in any manner that could imply certification of a product, process, or service or mislead interested parties.</w:t>
      </w:r>
    </w:p>
    <w:p w14:paraId="7B175184" w14:textId="77777777" w:rsidR="00F66245" w:rsidRDefault="00000000" w:rsidP="00062AB8">
      <w:pPr>
        <w:pStyle w:val="Heading1"/>
        <w:spacing w:before="280" w:after="120"/>
        <w:jc w:val="both"/>
      </w:pPr>
      <w:r>
        <w:rPr>
          <w:b/>
          <w:bCs/>
          <w:sz w:val="24"/>
          <w:szCs w:val="24"/>
        </w:rPr>
        <w:t>7. Validity, Renewal, Extension and Reduction of Scope</w:t>
      </w:r>
    </w:p>
    <w:p w14:paraId="489F2B57" w14:textId="77777777" w:rsidR="00F66245" w:rsidRDefault="00000000" w:rsidP="00062AB8">
      <w:pPr>
        <w:spacing w:after="140"/>
        <w:jc w:val="both"/>
      </w:pPr>
      <w:r>
        <w:rPr>
          <w:sz w:val="21"/>
          <w:szCs w:val="21"/>
        </w:rPr>
        <w:t>Certificates issued by TNV Global Limited remain valid for three (3) years, subject to satisfactory conduct of periodic surveillance audits and continued conformance of the client's management system to the applicable certification standard(s). Upon expiry, the certificate is renewed for a further three-year term following a satisfactory recertification assessment.</w:t>
      </w:r>
    </w:p>
    <w:p w14:paraId="1D4E8226" w14:textId="77777777" w:rsidR="00F66245" w:rsidRDefault="00000000" w:rsidP="00062AB8">
      <w:pPr>
        <w:pStyle w:val="ListParagraph"/>
        <w:numPr>
          <w:ilvl w:val="0"/>
          <w:numId w:val="2"/>
        </w:numPr>
        <w:spacing w:after="80"/>
        <w:jc w:val="both"/>
      </w:pPr>
      <w:r>
        <w:rPr>
          <w:sz w:val="21"/>
          <w:szCs w:val="21"/>
        </w:rPr>
        <w:t>Extension of Scope: Upon a client's request, at any point in the certification cycle, the scope of certification may be extended after verification is conducted in accordance with TNV's certification process.</w:t>
      </w:r>
    </w:p>
    <w:p w14:paraId="67E3A19A" w14:textId="77777777" w:rsidR="00F66245" w:rsidRDefault="00000000" w:rsidP="00062AB8">
      <w:pPr>
        <w:pStyle w:val="ListParagraph"/>
        <w:numPr>
          <w:ilvl w:val="0"/>
          <w:numId w:val="2"/>
        </w:numPr>
        <w:spacing w:after="80"/>
        <w:jc w:val="both"/>
      </w:pPr>
      <w:r>
        <w:rPr>
          <w:sz w:val="21"/>
          <w:szCs w:val="21"/>
        </w:rPr>
        <w:t xml:space="preserve">Reduction of Scope: The scope of certification may be reduced, upon the client's request or as identified by the audit team during a surveillance audit, following verification per TNV's certification process. The client </w:t>
      </w:r>
      <w:r>
        <w:rPr>
          <w:sz w:val="21"/>
          <w:szCs w:val="21"/>
        </w:rPr>
        <w:lastRenderedPageBreak/>
        <w:t>shall immediately cease use of the Certification Mark, Accreditation Mark, and IAF MLA Mark in respect of the withdrawn portion of scope.</w:t>
      </w:r>
    </w:p>
    <w:p w14:paraId="22BB7AD2" w14:textId="77777777" w:rsidR="00F66245" w:rsidRDefault="00000000" w:rsidP="00062AB8">
      <w:pPr>
        <w:pStyle w:val="ListParagraph"/>
        <w:numPr>
          <w:ilvl w:val="0"/>
          <w:numId w:val="2"/>
        </w:numPr>
        <w:spacing w:after="80"/>
        <w:jc w:val="both"/>
      </w:pPr>
      <w:r>
        <w:rPr>
          <w:sz w:val="21"/>
          <w:szCs w:val="21"/>
        </w:rPr>
        <w:t>Transition Audits: Where certification requirements change due to revision of the applicable management system standard, the client shall be notified in advance and a transition audit scheduled within the defined transition timeframe prescribed by UAF/IAF.</w:t>
      </w:r>
    </w:p>
    <w:p w14:paraId="61387DC8" w14:textId="77777777" w:rsidR="00062AB8" w:rsidRDefault="00062AB8" w:rsidP="00062AB8">
      <w:pPr>
        <w:pStyle w:val="Heading1"/>
        <w:spacing w:before="280" w:after="120"/>
        <w:jc w:val="both"/>
        <w:rPr>
          <w:b/>
          <w:bCs/>
          <w:sz w:val="24"/>
          <w:szCs w:val="24"/>
        </w:rPr>
      </w:pPr>
    </w:p>
    <w:p w14:paraId="0D639705" w14:textId="43424AB3" w:rsidR="00F66245" w:rsidRDefault="00000000" w:rsidP="00062AB8">
      <w:pPr>
        <w:pStyle w:val="Heading1"/>
        <w:spacing w:before="280" w:after="120"/>
        <w:jc w:val="both"/>
      </w:pPr>
      <w:r>
        <w:rPr>
          <w:b/>
          <w:bCs/>
          <w:sz w:val="24"/>
          <w:szCs w:val="24"/>
        </w:rPr>
        <w:t>8. Suspension, Withdrawal and Cancellation of Certification</w:t>
      </w:r>
    </w:p>
    <w:p w14:paraId="40A54E4B" w14:textId="77777777" w:rsidR="00F66245" w:rsidRDefault="00000000" w:rsidP="00062AB8">
      <w:pPr>
        <w:spacing w:after="140"/>
        <w:jc w:val="both"/>
      </w:pPr>
      <w:r>
        <w:rPr>
          <w:sz w:val="21"/>
          <w:szCs w:val="21"/>
        </w:rPr>
        <w:t>The following provisions govern suspension, withdrawal, and cancellation of certification and the corresponding obligations regarding use of marks:</w:t>
      </w:r>
    </w:p>
    <w:p w14:paraId="20B964EC" w14:textId="77777777" w:rsidR="00F66245" w:rsidRDefault="00000000" w:rsidP="00062AB8">
      <w:pPr>
        <w:pStyle w:val="Heading2"/>
        <w:spacing w:before="200" w:after="100"/>
        <w:jc w:val="both"/>
      </w:pPr>
      <w:r>
        <w:rPr>
          <w:b/>
          <w:bCs/>
          <w:i/>
          <w:iCs/>
          <w:sz w:val="22"/>
          <w:szCs w:val="22"/>
        </w:rPr>
        <w:t>8.1 Grounds for Suspension</w:t>
      </w:r>
    </w:p>
    <w:p w14:paraId="036164C4" w14:textId="77777777" w:rsidR="00F66245" w:rsidRDefault="00000000" w:rsidP="00062AB8">
      <w:pPr>
        <w:pStyle w:val="ListParagraph"/>
        <w:numPr>
          <w:ilvl w:val="0"/>
          <w:numId w:val="2"/>
        </w:numPr>
        <w:spacing w:after="80"/>
        <w:jc w:val="both"/>
      </w:pPr>
      <w:r>
        <w:rPr>
          <w:sz w:val="21"/>
          <w:szCs w:val="21"/>
        </w:rPr>
        <w:t>The certified organization fails to have the surveillance audit conducted as per the certification agreement/schedule.</w:t>
      </w:r>
    </w:p>
    <w:p w14:paraId="4A635B11" w14:textId="77777777" w:rsidR="00F66245" w:rsidRDefault="00000000" w:rsidP="00062AB8">
      <w:pPr>
        <w:pStyle w:val="ListParagraph"/>
        <w:numPr>
          <w:ilvl w:val="0"/>
          <w:numId w:val="2"/>
        </w:numPr>
        <w:spacing w:after="80"/>
        <w:jc w:val="both"/>
      </w:pPr>
      <w:r>
        <w:rPr>
          <w:sz w:val="21"/>
          <w:szCs w:val="21"/>
        </w:rPr>
        <w:t>The client is found to misuse the Certification Mark, Accreditation Mark, or IAF MLA Mark, or to make a misleading statement that could affect the reputation of TNV, UAF, or IAF.</w:t>
      </w:r>
    </w:p>
    <w:p w14:paraId="60A966ED" w14:textId="77777777" w:rsidR="00F66245" w:rsidRDefault="00000000" w:rsidP="00062AB8">
      <w:pPr>
        <w:pStyle w:val="ListParagraph"/>
        <w:numPr>
          <w:ilvl w:val="0"/>
          <w:numId w:val="2"/>
        </w:numPr>
        <w:spacing w:after="80"/>
        <w:jc w:val="both"/>
      </w:pPr>
      <w:r>
        <w:rPr>
          <w:sz w:val="21"/>
          <w:szCs w:val="21"/>
        </w:rPr>
        <w:t>Major non-conformities identified during a surveillance/recertification audit are not corrected within the agreed timeframe.</w:t>
      </w:r>
    </w:p>
    <w:p w14:paraId="5DDE8470" w14:textId="77777777" w:rsidR="00F66245" w:rsidRDefault="00000000" w:rsidP="00062AB8">
      <w:pPr>
        <w:pStyle w:val="ListParagraph"/>
        <w:numPr>
          <w:ilvl w:val="0"/>
          <w:numId w:val="2"/>
        </w:numPr>
        <w:spacing w:after="80"/>
        <w:jc w:val="both"/>
      </w:pPr>
      <w:r>
        <w:rPr>
          <w:sz w:val="21"/>
          <w:szCs w:val="21"/>
        </w:rPr>
        <w:t>The client fails to pay the applicable certification fees.</w:t>
      </w:r>
    </w:p>
    <w:p w14:paraId="3C8B9D92" w14:textId="77777777" w:rsidR="00F66245" w:rsidRDefault="00000000" w:rsidP="00062AB8">
      <w:pPr>
        <w:pStyle w:val="Heading2"/>
        <w:spacing w:before="200" w:after="100"/>
        <w:jc w:val="both"/>
      </w:pPr>
      <w:r>
        <w:rPr>
          <w:b/>
          <w:bCs/>
          <w:i/>
          <w:iCs/>
          <w:sz w:val="22"/>
          <w:szCs w:val="22"/>
        </w:rPr>
        <w:t>8.2 Consequences of Suspension</w:t>
      </w:r>
    </w:p>
    <w:p w14:paraId="5328BE8F" w14:textId="77777777" w:rsidR="00F66245" w:rsidRDefault="00000000" w:rsidP="00062AB8">
      <w:pPr>
        <w:pStyle w:val="ListParagraph"/>
        <w:numPr>
          <w:ilvl w:val="0"/>
          <w:numId w:val="2"/>
        </w:numPr>
        <w:spacing w:after="80"/>
        <w:jc w:val="both"/>
      </w:pPr>
      <w:r>
        <w:rPr>
          <w:sz w:val="21"/>
          <w:szCs w:val="21"/>
        </w:rPr>
        <w:t>The client shall immediately suspend all use of the Certification Mark, Accreditation Mark, and IAF MLA Mark in any advertising matter or communication.</w:t>
      </w:r>
    </w:p>
    <w:p w14:paraId="5D234997" w14:textId="77777777" w:rsidR="00F66245" w:rsidRDefault="00000000" w:rsidP="00062AB8">
      <w:pPr>
        <w:pStyle w:val="ListParagraph"/>
        <w:numPr>
          <w:ilvl w:val="0"/>
          <w:numId w:val="2"/>
        </w:numPr>
        <w:spacing w:after="80"/>
        <w:jc w:val="both"/>
      </w:pPr>
      <w:r>
        <w:rPr>
          <w:sz w:val="21"/>
          <w:szCs w:val="21"/>
        </w:rPr>
        <w:t>TNV shall update its public register/website to reflect the suspended status of the certificate.</w:t>
      </w:r>
    </w:p>
    <w:p w14:paraId="2DCB174C" w14:textId="77777777" w:rsidR="00F66245" w:rsidRDefault="00000000" w:rsidP="00062AB8">
      <w:pPr>
        <w:pStyle w:val="Heading2"/>
        <w:spacing w:before="200" w:after="100"/>
        <w:jc w:val="both"/>
      </w:pPr>
      <w:r>
        <w:rPr>
          <w:b/>
          <w:bCs/>
          <w:i/>
          <w:iCs/>
          <w:sz w:val="22"/>
          <w:szCs w:val="22"/>
        </w:rPr>
        <w:t>8.3 Withdrawal / Cancellation</w:t>
      </w:r>
    </w:p>
    <w:p w14:paraId="63499899" w14:textId="77777777" w:rsidR="00F66245" w:rsidRDefault="00000000" w:rsidP="00062AB8">
      <w:pPr>
        <w:pStyle w:val="ListParagraph"/>
        <w:numPr>
          <w:ilvl w:val="0"/>
          <w:numId w:val="2"/>
        </w:numPr>
        <w:spacing w:after="80"/>
        <w:jc w:val="both"/>
      </w:pPr>
      <w:r>
        <w:rPr>
          <w:sz w:val="21"/>
          <w:szCs w:val="21"/>
        </w:rPr>
        <w:t>Where suspension is not resolved within ninety (90) days, or the evidence submitted by the client is not found satisfactory, the certificate shall be cancelled.</w:t>
      </w:r>
    </w:p>
    <w:p w14:paraId="19700531" w14:textId="77777777" w:rsidR="00F66245" w:rsidRDefault="00000000" w:rsidP="00062AB8">
      <w:pPr>
        <w:pStyle w:val="ListParagraph"/>
        <w:numPr>
          <w:ilvl w:val="0"/>
          <w:numId w:val="2"/>
        </w:numPr>
        <w:spacing w:after="80"/>
        <w:jc w:val="both"/>
      </w:pPr>
      <w:r>
        <w:rPr>
          <w:sz w:val="21"/>
          <w:szCs w:val="21"/>
        </w:rPr>
        <w:t>Upon cancellation, the client shall immediately and permanently cease all use of the Certification Mark, Accreditation Mark, and IAF MLA Mark, surrender the certificate to TNV upon request, and withdraw and discontinue any existing stock of stationery, publicity material, or promotional items bearing the marks.</w:t>
      </w:r>
    </w:p>
    <w:p w14:paraId="7983F9F2" w14:textId="77777777" w:rsidR="00F66245" w:rsidRDefault="00000000" w:rsidP="00062AB8">
      <w:pPr>
        <w:pStyle w:val="ListParagraph"/>
        <w:numPr>
          <w:ilvl w:val="0"/>
          <w:numId w:val="2"/>
        </w:numPr>
        <w:spacing w:after="80"/>
        <w:jc w:val="both"/>
      </w:pPr>
      <w:r>
        <w:rPr>
          <w:sz w:val="21"/>
          <w:szCs w:val="21"/>
        </w:rPr>
        <w:t>TNV's website and public certification register shall be updated to reflect the cancelled (not valid) status of the certificate.</w:t>
      </w:r>
    </w:p>
    <w:p w14:paraId="5718AE40" w14:textId="77777777" w:rsidR="00F66245" w:rsidRDefault="00000000" w:rsidP="00062AB8">
      <w:pPr>
        <w:pStyle w:val="ListParagraph"/>
        <w:numPr>
          <w:ilvl w:val="0"/>
          <w:numId w:val="2"/>
        </w:numPr>
        <w:spacing w:after="80"/>
        <w:jc w:val="both"/>
      </w:pPr>
      <w:r>
        <w:rPr>
          <w:sz w:val="21"/>
          <w:szCs w:val="21"/>
        </w:rPr>
        <w:t>Where an organization continues to use a cancelled certificate, or certification/accreditation information, in any manner, TNV shall pursue legal action in accordance with the contractual agreement executed with the client.</w:t>
      </w:r>
    </w:p>
    <w:p w14:paraId="68E1B852" w14:textId="77777777" w:rsidR="00F66245" w:rsidRDefault="00000000" w:rsidP="00062AB8">
      <w:pPr>
        <w:pStyle w:val="Heading1"/>
        <w:spacing w:before="280" w:after="120"/>
        <w:jc w:val="both"/>
      </w:pPr>
      <w:r>
        <w:rPr>
          <w:b/>
          <w:bCs/>
          <w:sz w:val="24"/>
          <w:szCs w:val="24"/>
        </w:rPr>
        <w:t>9. Misuse of Marks</w:t>
      </w:r>
    </w:p>
    <w:p w14:paraId="36691149" w14:textId="77777777" w:rsidR="00F66245" w:rsidRDefault="00000000" w:rsidP="00062AB8">
      <w:pPr>
        <w:spacing w:after="140"/>
        <w:jc w:val="both"/>
      </w:pPr>
      <w:r>
        <w:rPr>
          <w:sz w:val="21"/>
          <w:szCs w:val="21"/>
        </w:rPr>
        <w:t>If a certified client fails to comply with the rules set out in this policy, or uses the Certification Mark, Accreditation Mark, and/or IAF MLA Mark in any misleading manner, TNV reserves the right to take one or more of the following actions:</w:t>
      </w:r>
    </w:p>
    <w:p w14:paraId="77C8DBC8" w14:textId="77777777" w:rsidR="00F66245" w:rsidRDefault="00000000" w:rsidP="00062AB8">
      <w:pPr>
        <w:pStyle w:val="ListParagraph"/>
        <w:numPr>
          <w:ilvl w:val="0"/>
          <w:numId w:val="2"/>
        </w:numPr>
        <w:spacing w:after="80"/>
        <w:jc w:val="both"/>
      </w:pPr>
      <w:r>
        <w:rPr>
          <w:sz w:val="21"/>
          <w:szCs w:val="21"/>
        </w:rPr>
        <w:t>Require immediate correction and evidence of corrective action from the client.</w:t>
      </w:r>
    </w:p>
    <w:p w14:paraId="6FA485AF" w14:textId="77777777" w:rsidR="00F66245" w:rsidRDefault="00000000" w:rsidP="00062AB8">
      <w:pPr>
        <w:pStyle w:val="ListParagraph"/>
        <w:numPr>
          <w:ilvl w:val="0"/>
          <w:numId w:val="2"/>
        </w:numPr>
        <w:spacing w:after="80"/>
        <w:jc w:val="both"/>
      </w:pPr>
      <w:r>
        <w:rPr>
          <w:sz w:val="21"/>
          <w:szCs w:val="21"/>
        </w:rPr>
        <w:t>Suspend the certificate until the misuse is rectified to TNV's satisfaction.</w:t>
      </w:r>
    </w:p>
    <w:p w14:paraId="15A97859" w14:textId="77777777" w:rsidR="00F66245" w:rsidRDefault="00000000" w:rsidP="00062AB8">
      <w:pPr>
        <w:pStyle w:val="ListParagraph"/>
        <w:numPr>
          <w:ilvl w:val="0"/>
          <w:numId w:val="2"/>
        </w:numPr>
        <w:spacing w:after="80"/>
        <w:jc w:val="both"/>
      </w:pPr>
      <w:r>
        <w:rPr>
          <w:sz w:val="21"/>
          <w:szCs w:val="21"/>
        </w:rPr>
        <w:t>Withdraw or cancel the certificate.</w:t>
      </w:r>
    </w:p>
    <w:p w14:paraId="217AA5DB" w14:textId="77777777" w:rsidR="00F66245" w:rsidRDefault="00000000" w:rsidP="00062AB8">
      <w:pPr>
        <w:pStyle w:val="ListParagraph"/>
        <w:numPr>
          <w:ilvl w:val="0"/>
          <w:numId w:val="2"/>
        </w:numPr>
        <w:spacing w:after="80"/>
        <w:jc w:val="both"/>
      </w:pPr>
      <w:r>
        <w:rPr>
          <w:sz w:val="21"/>
          <w:szCs w:val="21"/>
        </w:rPr>
        <w:t>Publish notice of the transgression, where warranted.</w:t>
      </w:r>
    </w:p>
    <w:p w14:paraId="79398CE2" w14:textId="77777777" w:rsidR="00F66245" w:rsidRDefault="00000000" w:rsidP="00062AB8">
      <w:pPr>
        <w:pStyle w:val="ListParagraph"/>
        <w:numPr>
          <w:ilvl w:val="0"/>
          <w:numId w:val="2"/>
        </w:numPr>
        <w:spacing w:after="80"/>
        <w:jc w:val="both"/>
      </w:pPr>
      <w:r>
        <w:rPr>
          <w:sz w:val="21"/>
          <w:szCs w:val="21"/>
        </w:rPr>
        <w:t>Initiate legal action against the organization, where necessary, in accordance with the contractual agreement.</w:t>
      </w:r>
    </w:p>
    <w:p w14:paraId="2FDEC180" w14:textId="77777777" w:rsidR="00F66245" w:rsidRDefault="00000000" w:rsidP="00062AB8">
      <w:pPr>
        <w:spacing w:after="140"/>
        <w:jc w:val="both"/>
      </w:pPr>
      <w:r>
        <w:rPr>
          <w:sz w:val="21"/>
          <w:szCs w:val="21"/>
        </w:rPr>
        <w:t>The client shall, upon any such action, immediately cease use of the relevant mark(s) and withdraw existing stock of stationery, publicity, and promotional material bearing the mark(s) from further use or circulation.</w:t>
      </w:r>
    </w:p>
    <w:p w14:paraId="0FB207AC" w14:textId="77777777" w:rsidR="00F66245" w:rsidRDefault="00000000" w:rsidP="00062AB8">
      <w:pPr>
        <w:pStyle w:val="Heading1"/>
        <w:spacing w:before="280" w:after="120"/>
        <w:jc w:val="both"/>
      </w:pPr>
      <w:r>
        <w:rPr>
          <w:b/>
          <w:bCs/>
          <w:sz w:val="24"/>
          <w:szCs w:val="24"/>
        </w:rPr>
        <w:t>10. Appeals and Complaints</w:t>
      </w:r>
    </w:p>
    <w:p w14:paraId="3BDCFF7E" w14:textId="77777777" w:rsidR="00F66245" w:rsidRDefault="00000000" w:rsidP="00062AB8">
      <w:pPr>
        <w:spacing w:after="140"/>
        <w:jc w:val="both"/>
      </w:pPr>
      <w:r>
        <w:rPr>
          <w:sz w:val="21"/>
          <w:szCs w:val="21"/>
        </w:rPr>
        <w:lastRenderedPageBreak/>
        <w:t>TNV Global Limited is committed to providing a prompt, competent, and impartial service to its clients. Any applicant, certified client, or interested party wishing to lodge a complaint regarding the operation of TNV's certification scheme, or to appeal a decision of TNV considered unfair or prejudicial to their interests — including a decision relating to use of marks — may do so in accordance with TNV's documented Appeals and Complaints Procedure, a copy of which is available upon request.</w:t>
      </w:r>
    </w:p>
    <w:p w14:paraId="28424C7B" w14:textId="77777777" w:rsidR="00F66245" w:rsidRDefault="00000000" w:rsidP="00062AB8">
      <w:pPr>
        <w:pStyle w:val="Heading1"/>
        <w:spacing w:before="280" w:after="120"/>
        <w:jc w:val="both"/>
      </w:pPr>
      <w:r>
        <w:rPr>
          <w:b/>
          <w:bCs/>
          <w:sz w:val="24"/>
          <w:szCs w:val="24"/>
        </w:rPr>
        <w:t>11. Responsibility</w:t>
      </w:r>
    </w:p>
    <w:p w14:paraId="127CDE02" w14:textId="77777777" w:rsidR="00F66245" w:rsidRDefault="00000000" w:rsidP="00062AB8">
      <w:pPr>
        <w:pStyle w:val="ListParagraph"/>
        <w:numPr>
          <w:ilvl w:val="0"/>
          <w:numId w:val="2"/>
        </w:numPr>
        <w:spacing w:after="80"/>
        <w:jc w:val="both"/>
      </w:pPr>
      <w:r>
        <w:rPr>
          <w:sz w:val="21"/>
          <w:szCs w:val="21"/>
        </w:rPr>
        <w:t>The Quality Manager is responsible for monitoring compliance with this policy, including periodic review of client websites, publicity material, and use of marks, as sampled and reported to the Impartiality Committee.</w:t>
      </w:r>
    </w:p>
    <w:p w14:paraId="5B5DA59A" w14:textId="77777777" w:rsidR="00F66245" w:rsidRDefault="00000000" w:rsidP="00062AB8">
      <w:pPr>
        <w:pStyle w:val="ListParagraph"/>
        <w:numPr>
          <w:ilvl w:val="0"/>
          <w:numId w:val="2"/>
        </w:numPr>
        <w:spacing w:after="80"/>
        <w:jc w:val="both"/>
      </w:pPr>
      <w:r>
        <w:rPr>
          <w:sz w:val="21"/>
          <w:szCs w:val="21"/>
        </w:rPr>
        <w:t>The CEO is responsible for approval of this policy and for authorizing any action arising from confirmed misuse of marks.</w:t>
      </w:r>
    </w:p>
    <w:p w14:paraId="48A92094" w14:textId="77777777" w:rsidR="00F66245" w:rsidRDefault="00000000" w:rsidP="00062AB8">
      <w:pPr>
        <w:pStyle w:val="Heading1"/>
        <w:spacing w:before="280" w:after="120"/>
        <w:jc w:val="both"/>
      </w:pPr>
      <w:r>
        <w:rPr>
          <w:b/>
          <w:bCs/>
          <w:sz w:val="24"/>
          <w:szCs w:val="24"/>
        </w:rPr>
        <w:t>12. Related Documents</w:t>
      </w:r>
    </w:p>
    <w:p w14:paraId="1B5398FF" w14:textId="77777777" w:rsidR="00F66245" w:rsidRDefault="00000000" w:rsidP="00062AB8">
      <w:pPr>
        <w:pStyle w:val="ListParagraph"/>
        <w:numPr>
          <w:ilvl w:val="0"/>
          <w:numId w:val="2"/>
        </w:numPr>
        <w:spacing w:after="80"/>
        <w:jc w:val="both"/>
      </w:pPr>
      <w:r>
        <w:rPr>
          <w:sz w:val="21"/>
          <w:szCs w:val="21"/>
        </w:rPr>
        <w:t>TNV-F-036 – Management Review Minutes</w:t>
      </w:r>
    </w:p>
    <w:p w14:paraId="71213032" w14:textId="77777777" w:rsidR="00F66245" w:rsidRDefault="00000000" w:rsidP="00062AB8">
      <w:pPr>
        <w:pStyle w:val="ListParagraph"/>
        <w:numPr>
          <w:ilvl w:val="0"/>
          <w:numId w:val="2"/>
        </w:numPr>
        <w:spacing w:after="80"/>
        <w:jc w:val="both"/>
      </w:pPr>
      <w:r>
        <w:rPr>
          <w:sz w:val="21"/>
          <w:szCs w:val="21"/>
        </w:rPr>
        <w:t>TNV-F-047 – Minutes of Impartiality Committee Meeting</w:t>
      </w:r>
    </w:p>
    <w:p w14:paraId="2142EBE5" w14:textId="77777777" w:rsidR="00F66245" w:rsidRDefault="00000000" w:rsidP="00062AB8">
      <w:pPr>
        <w:pStyle w:val="ListParagraph"/>
        <w:numPr>
          <w:ilvl w:val="0"/>
          <w:numId w:val="2"/>
        </w:numPr>
        <w:spacing w:after="80"/>
        <w:jc w:val="both"/>
      </w:pPr>
      <w:r>
        <w:rPr>
          <w:sz w:val="21"/>
          <w:szCs w:val="21"/>
        </w:rPr>
        <w:t>TNV Certification Process Procedure</w:t>
      </w:r>
    </w:p>
    <w:p w14:paraId="6EF65E36" w14:textId="07598957" w:rsidR="00F66245" w:rsidRDefault="00000000" w:rsidP="00062AB8">
      <w:pPr>
        <w:pStyle w:val="ListParagraph"/>
        <w:numPr>
          <w:ilvl w:val="0"/>
          <w:numId w:val="2"/>
        </w:numPr>
        <w:spacing w:after="80"/>
        <w:jc w:val="both"/>
      </w:pPr>
      <w:r>
        <w:rPr>
          <w:sz w:val="21"/>
          <w:szCs w:val="21"/>
        </w:rPr>
        <w:t>TNV Appeals and Complaints Procedure</w:t>
      </w:r>
    </w:p>
    <w:sectPr w:rsidR="00F66245">
      <w:pgSz w:w="11906" w:h="16838"/>
      <w:pgMar w:top="1000" w:right="1100" w:bottom="1000" w:left="11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3765004"/>
    <w:multiLevelType w:val="hybridMultilevel"/>
    <w:tmpl w:val="BE8A63AE"/>
    <w:lvl w:ilvl="0" w:tplc="6598CF12">
      <w:start w:val="1"/>
      <w:numFmt w:val="bullet"/>
      <w:lvlText w:val="●"/>
      <w:lvlJc w:val="left"/>
      <w:pPr>
        <w:ind w:left="720" w:hanging="360"/>
      </w:pPr>
    </w:lvl>
    <w:lvl w:ilvl="1" w:tplc="7F7AEDB8">
      <w:start w:val="1"/>
      <w:numFmt w:val="bullet"/>
      <w:lvlText w:val="○"/>
      <w:lvlJc w:val="left"/>
      <w:pPr>
        <w:ind w:left="1440" w:hanging="360"/>
      </w:pPr>
    </w:lvl>
    <w:lvl w:ilvl="2" w:tplc="30C2E070">
      <w:start w:val="1"/>
      <w:numFmt w:val="bullet"/>
      <w:lvlText w:val="■"/>
      <w:lvlJc w:val="left"/>
      <w:pPr>
        <w:ind w:left="2160" w:hanging="360"/>
      </w:pPr>
    </w:lvl>
    <w:lvl w:ilvl="3" w:tplc="BEB6C952">
      <w:start w:val="1"/>
      <w:numFmt w:val="bullet"/>
      <w:lvlText w:val="●"/>
      <w:lvlJc w:val="left"/>
      <w:pPr>
        <w:ind w:left="2880" w:hanging="360"/>
      </w:pPr>
    </w:lvl>
    <w:lvl w:ilvl="4" w:tplc="EDD224E8">
      <w:start w:val="1"/>
      <w:numFmt w:val="bullet"/>
      <w:lvlText w:val="○"/>
      <w:lvlJc w:val="left"/>
      <w:pPr>
        <w:ind w:left="3600" w:hanging="360"/>
      </w:pPr>
    </w:lvl>
    <w:lvl w:ilvl="5" w:tplc="37E48378">
      <w:start w:val="1"/>
      <w:numFmt w:val="bullet"/>
      <w:lvlText w:val="■"/>
      <w:lvlJc w:val="left"/>
      <w:pPr>
        <w:ind w:left="4320" w:hanging="360"/>
      </w:pPr>
    </w:lvl>
    <w:lvl w:ilvl="6" w:tplc="1632EA6C">
      <w:start w:val="1"/>
      <w:numFmt w:val="bullet"/>
      <w:lvlText w:val="●"/>
      <w:lvlJc w:val="left"/>
      <w:pPr>
        <w:ind w:left="5040" w:hanging="360"/>
      </w:pPr>
    </w:lvl>
    <w:lvl w:ilvl="7" w:tplc="EBBE5F0E">
      <w:start w:val="1"/>
      <w:numFmt w:val="bullet"/>
      <w:lvlText w:val="●"/>
      <w:lvlJc w:val="left"/>
      <w:pPr>
        <w:ind w:left="5760" w:hanging="360"/>
      </w:pPr>
    </w:lvl>
    <w:lvl w:ilvl="8" w:tplc="020E2BC6">
      <w:start w:val="1"/>
      <w:numFmt w:val="bullet"/>
      <w:lvlText w:val="●"/>
      <w:lvlJc w:val="left"/>
      <w:pPr>
        <w:ind w:left="6480" w:hanging="360"/>
      </w:pPr>
    </w:lvl>
  </w:abstractNum>
  <w:abstractNum w:abstractNumId="1" w15:restartNumberingAfterBreak="0">
    <w:nsid w:val="7A72384F"/>
    <w:multiLevelType w:val="hybridMultilevel"/>
    <w:tmpl w:val="D1B4A05E"/>
    <w:lvl w:ilvl="0" w:tplc="BA9C9606">
      <w:start w:val="1"/>
      <w:numFmt w:val="bullet"/>
      <w:lvlText w:val="•"/>
      <w:lvlJc w:val="left"/>
      <w:pPr>
        <w:ind w:left="576" w:hanging="288"/>
      </w:pPr>
    </w:lvl>
    <w:lvl w:ilvl="1" w:tplc="E10418CC">
      <w:numFmt w:val="decimal"/>
      <w:lvlText w:val=""/>
      <w:lvlJc w:val="left"/>
    </w:lvl>
    <w:lvl w:ilvl="2" w:tplc="AA202004">
      <w:numFmt w:val="decimal"/>
      <w:lvlText w:val=""/>
      <w:lvlJc w:val="left"/>
    </w:lvl>
    <w:lvl w:ilvl="3" w:tplc="9B6C064C">
      <w:numFmt w:val="decimal"/>
      <w:lvlText w:val=""/>
      <w:lvlJc w:val="left"/>
    </w:lvl>
    <w:lvl w:ilvl="4" w:tplc="CBF4F6EE">
      <w:numFmt w:val="decimal"/>
      <w:lvlText w:val=""/>
      <w:lvlJc w:val="left"/>
    </w:lvl>
    <w:lvl w:ilvl="5" w:tplc="A636FD98">
      <w:numFmt w:val="decimal"/>
      <w:lvlText w:val=""/>
      <w:lvlJc w:val="left"/>
    </w:lvl>
    <w:lvl w:ilvl="6" w:tplc="59DE08D8">
      <w:numFmt w:val="decimal"/>
      <w:lvlText w:val=""/>
      <w:lvlJc w:val="left"/>
    </w:lvl>
    <w:lvl w:ilvl="7" w:tplc="A19A1064">
      <w:numFmt w:val="decimal"/>
      <w:lvlText w:val=""/>
      <w:lvlJc w:val="left"/>
    </w:lvl>
    <w:lvl w:ilvl="8" w:tplc="0BA62976">
      <w:numFmt w:val="decimal"/>
      <w:lvlText w:val=""/>
      <w:lvlJc w:val="left"/>
    </w:lvl>
  </w:abstractNum>
  <w:num w:numId="1" w16cid:durableId="687876207">
    <w:abstractNumId w:val="0"/>
    <w:lvlOverride w:ilvl="0">
      <w:startOverride w:val="1"/>
    </w:lvlOverride>
  </w:num>
  <w:num w:numId="2" w16cid:durableId="1984385541">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45"/>
    <w:rsid w:val="00060D7D"/>
    <w:rsid w:val="00062AB8"/>
    <w:rsid w:val="000E491E"/>
    <w:rsid w:val="00202181"/>
    <w:rsid w:val="002D5E41"/>
    <w:rsid w:val="004618E0"/>
    <w:rsid w:val="006872CA"/>
    <w:rsid w:val="00693FFE"/>
    <w:rsid w:val="007929FA"/>
    <w:rsid w:val="007A7E35"/>
    <w:rsid w:val="007E5D68"/>
    <w:rsid w:val="00880D52"/>
    <w:rsid w:val="00A40E99"/>
    <w:rsid w:val="00A963B9"/>
    <w:rsid w:val="00AB08C3"/>
    <w:rsid w:val="00C01ABD"/>
    <w:rsid w:val="00C577B8"/>
    <w:rsid w:val="00CB60EC"/>
    <w:rsid w:val="00CC4499"/>
    <w:rsid w:val="00D14883"/>
    <w:rsid w:val="00E02C8E"/>
    <w:rsid w:val="00EE1037"/>
    <w:rsid w:val="00F662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E27FCA3"/>
  <w15:docId w15:val="{8BE88CB4-3F00-864F-B437-3E752535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Suryakant Chaudhary</cp:lastModifiedBy>
  <cp:revision>26</cp:revision>
  <dcterms:created xsi:type="dcterms:W3CDTF">2026-07-13T11:22:00Z</dcterms:created>
  <dcterms:modified xsi:type="dcterms:W3CDTF">2026-07-13T12:04:00Z</dcterms:modified>
</cp:coreProperties>
</file>